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16CD" w14:textId="12ECCE0D" w:rsidR="00C15D7C" w:rsidRDefault="00C15D7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A98617" wp14:editId="4EC7FDD1">
            <wp:extent cx="5731510" cy="1052195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MuseumEa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0F362" w14:textId="2C338240" w:rsidR="0019015E" w:rsidRPr="00C15D7C" w:rsidRDefault="00625884">
      <w:pPr>
        <w:rPr>
          <w:b/>
          <w:bCs/>
          <w:sz w:val="28"/>
          <w:szCs w:val="28"/>
        </w:rPr>
      </w:pPr>
      <w:r w:rsidRPr="00C15D7C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10103C" wp14:editId="74F889AA">
                <wp:simplePos x="0" y="0"/>
                <wp:positionH relativeFrom="column">
                  <wp:posOffset>7010400</wp:posOffset>
                </wp:positionH>
                <wp:positionV relativeFrom="paragraph">
                  <wp:posOffset>114300</wp:posOffset>
                </wp:positionV>
                <wp:extent cx="9525" cy="5043805"/>
                <wp:effectExtent l="0" t="0" r="28575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5043805"/>
                          <a:chOff x="0" y="0"/>
                          <a:chExt cx="9525" cy="5044059"/>
                        </a:xfrm>
                      </wpg:grpSpPr>
                      <wps:wsp>
                        <wps:cNvPr id="3" name="Shape 57568"/>
                        <wps:cNvSpPr/>
                        <wps:spPr>
                          <a:xfrm>
                            <a:off x="0" y="0"/>
                            <a:ext cx="9525" cy="504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5044059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5044059"/>
                                </a:lnTo>
                                <a:lnTo>
                                  <a:pt x="0" y="5044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6B33D" id="Group 1" o:spid="_x0000_s1026" style="position:absolute;margin-left:552pt;margin-top:9pt;width:.75pt;height:397.15pt;z-index:-251656192" coordsize="95,5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">
                <v:shape id="Shape 57568" o:spid="_x0000_s1027" style="position:absolute;width:95;height:50440;visibility:visible;mso-wrap-style:square;v-text-anchor:top" coordsize="9525,504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" path="m,l9525,r,5044059l,5044059,,e" fillcolor="black" stroked="f" strokeweight="0">
                  <v:stroke miterlimit="83231f" joinstyle="miter"/>
                  <v:path arrowok="t" textboxrect="0,0,9525,5044059"/>
                </v:shape>
              </v:group>
            </w:pict>
          </mc:Fallback>
        </mc:AlternateContent>
      </w:r>
      <w:r w:rsidR="002B6188" w:rsidRPr="00C15D7C">
        <w:rPr>
          <w:b/>
          <w:bCs/>
          <w:sz w:val="28"/>
          <w:szCs w:val="28"/>
        </w:rPr>
        <w:t xml:space="preserve">Diversify Your </w:t>
      </w:r>
      <w:proofErr w:type="gramStart"/>
      <w:r w:rsidR="002B6188" w:rsidRPr="00C15D7C">
        <w:rPr>
          <w:b/>
          <w:bCs/>
          <w:sz w:val="28"/>
          <w:szCs w:val="28"/>
        </w:rPr>
        <w:t>Income</w:t>
      </w:r>
      <w:r w:rsidR="000849BC" w:rsidRPr="00C15D7C">
        <w:rPr>
          <w:b/>
          <w:bCs/>
          <w:sz w:val="28"/>
          <w:szCs w:val="28"/>
        </w:rPr>
        <w:t xml:space="preserve"> </w:t>
      </w:r>
      <w:r w:rsidR="00C15D7C" w:rsidRPr="00C15D7C">
        <w:rPr>
          <w:b/>
          <w:bCs/>
          <w:sz w:val="28"/>
          <w:szCs w:val="28"/>
        </w:rPr>
        <w:t xml:space="preserve"> -</w:t>
      </w:r>
      <w:proofErr w:type="gramEnd"/>
      <w:r w:rsidR="00C15D7C" w:rsidRPr="00C15D7C">
        <w:rPr>
          <w:b/>
          <w:bCs/>
          <w:sz w:val="28"/>
          <w:szCs w:val="28"/>
        </w:rPr>
        <w:t xml:space="preserve"> </w:t>
      </w:r>
      <w:r w:rsidR="00C15D7C">
        <w:rPr>
          <w:b/>
          <w:bCs/>
          <w:sz w:val="28"/>
          <w:szCs w:val="28"/>
        </w:rPr>
        <w:t xml:space="preserve"> </w:t>
      </w:r>
      <w:r w:rsidR="000849BC" w:rsidRPr="00C15D7C">
        <w:rPr>
          <w:b/>
          <w:bCs/>
          <w:sz w:val="28"/>
          <w:szCs w:val="28"/>
        </w:rPr>
        <w:t>programme outline</w:t>
      </w:r>
    </w:p>
    <w:p w14:paraId="4FC5D217" w14:textId="603BEF0B" w:rsidR="002B6188" w:rsidRPr="00C15D7C" w:rsidRDefault="002B6188">
      <w:pPr>
        <w:rPr>
          <w:sz w:val="28"/>
          <w:szCs w:val="28"/>
        </w:rPr>
      </w:pPr>
    </w:p>
    <w:p w14:paraId="4659BF82" w14:textId="0960F253" w:rsidR="002B6188" w:rsidRPr="00C15D7C" w:rsidRDefault="00137C7D">
      <w:pPr>
        <w:rPr>
          <w:b/>
          <w:bCs/>
          <w:sz w:val="28"/>
          <w:szCs w:val="28"/>
        </w:rPr>
      </w:pPr>
      <w:r w:rsidRPr="00C15D7C">
        <w:rPr>
          <w:b/>
          <w:bCs/>
          <w:sz w:val="28"/>
          <w:szCs w:val="28"/>
        </w:rPr>
        <w:t xml:space="preserve">Do you want to </w:t>
      </w:r>
      <w:r w:rsidR="00A85E88" w:rsidRPr="00C15D7C">
        <w:rPr>
          <w:b/>
          <w:bCs/>
          <w:sz w:val="28"/>
          <w:szCs w:val="28"/>
        </w:rPr>
        <w:t xml:space="preserve">expand your sources of </w:t>
      </w:r>
      <w:r w:rsidRPr="00C15D7C">
        <w:rPr>
          <w:b/>
          <w:bCs/>
          <w:sz w:val="28"/>
          <w:szCs w:val="28"/>
        </w:rPr>
        <w:t>income?</w:t>
      </w:r>
    </w:p>
    <w:p w14:paraId="489BAD7C" w14:textId="6366C1B4" w:rsidR="00697342" w:rsidRPr="00C15D7C" w:rsidRDefault="00137C7D" w:rsidP="002B6188">
      <w:pPr>
        <w:ind w:left="-5" w:right="11"/>
        <w:rPr>
          <w:b/>
          <w:bCs/>
          <w:sz w:val="28"/>
          <w:szCs w:val="28"/>
        </w:rPr>
      </w:pPr>
      <w:r w:rsidRPr="00C15D7C">
        <w:rPr>
          <w:b/>
          <w:bCs/>
          <w:sz w:val="28"/>
          <w:szCs w:val="28"/>
        </w:rPr>
        <w:t xml:space="preserve">SHARE is offering 6 museums in the region a </w:t>
      </w:r>
      <w:r w:rsidR="002B6188" w:rsidRPr="00C15D7C">
        <w:rPr>
          <w:b/>
          <w:bCs/>
          <w:sz w:val="28"/>
          <w:szCs w:val="28"/>
        </w:rPr>
        <w:t>two</w:t>
      </w:r>
      <w:r w:rsidR="00697342" w:rsidRPr="00C15D7C">
        <w:rPr>
          <w:b/>
          <w:bCs/>
          <w:sz w:val="28"/>
          <w:szCs w:val="28"/>
        </w:rPr>
        <w:t>-</w:t>
      </w:r>
      <w:r w:rsidR="002B6188" w:rsidRPr="00C15D7C">
        <w:rPr>
          <w:b/>
          <w:bCs/>
          <w:sz w:val="28"/>
          <w:szCs w:val="28"/>
        </w:rPr>
        <w:t xml:space="preserve">strand </w:t>
      </w:r>
      <w:r w:rsidR="00697342" w:rsidRPr="00C15D7C">
        <w:rPr>
          <w:b/>
          <w:bCs/>
          <w:sz w:val="28"/>
          <w:szCs w:val="28"/>
        </w:rPr>
        <w:t xml:space="preserve">support </w:t>
      </w:r>
      <w:r w:rsidR="002B6188" w:rsidRPr="00C15D7C">
        <w:rPr>
          <w:b/>
          <w:bCs/>
          <w:sz w:val="28"/>
          <w:szCs w:val="28"/>
        </w:rPr>
        <w:t>programme</w:t>
      </w:r>
      <w:r w:rsidRPr="00C15D7C">
        <w:rPr>
          <w:b/>
          <w:bCs/>
          <w:sz w:val="28"/>
          <w:szCs w:val="28"/>
        </w:rPr>
        <w:t xml:space="preserve"> this Autumn</w:t>
      </w:r>
      <w:r w:rsidR="00697342" w:rsidRPr="00C15D7C">
        <w:rPr>
          <w:b/>
          <w:bCs/>
          <w:sz w:val="28"/>
          <w:szCs w:val="28"/>
        </w:rPr>
        <w:t>. It will</w:t>
      </w:r>
      <w:r w:rsidRPr="00C15D7C">
        <w:rPr>
          <w:b/>
          <w:bCs/>
          <w:sz w:val="28"/>
          <w:szCs w:val="28"/>
        </w:rPr>
        <w:t xml:space="preserve"> </w:t>
      </w:r>
      <w:r w:rsidR="002B6188" w:rsidRPr="00C15D7C">
        <w:rPr>
          <w:b/>
          <w:bCs/>
          <w:sz w:val="28"/>
          <w:szCs w:val="28"/>
        </w:rPr>
        <w:t xml:space="preserve">provide coaching </w:t>
      </w:r>
      <w:r w:rsidR="00697342" w:rsidRPr="00C15D7C">
        <w:rPr>
          <w:b/>
          <w:bCs/>
          <w:sz w:val="28"/>
          <w:szCs w:val="28"/>
        </w:rPr>
        <w:t xml:space="preserve">and training </w:t>
      </w:r>
      <w:r w:rsidRPr="00C15D7C">
        <w:rPr>
          <w:b/>
          <w:bCs/>
          <w:sz w:val="28"/>
          <w:szCs w:val="28"/>
        </w:rPr>
        <w:t>to</w:t>
      </w:r>
      <w:r w:rsidR="00697342" w:rsidRPr="00C15D7C">
        <w:rPr>
          <w:b/>
          <w:bCs/>
          <w:sz w:val="28"/>
          <w:szCs w:val="28"/>
        </w:rPr>
        <w:t xml:space="preserve"> help</w:t>
      </w:r>
      <w:r w:rsidRPr="00C15D7C">
        <w:rPr>
          <w:b/>
          <w:bCs/>
          <w:sz w:val="28"/>
          <w:szCs w:val="28"/>
        </w:rPr>
        <w:t xml:space="preserve"> you </w:t>
      </w:r>
      <w:r w:rsidR="002B6188" w:rsidRPr="00C15D7C">
        <w:rPr>
          <w:b/>
          <w:bCs/>
          <w:sz w:val="28"/>
          <w:szCs w:val="28"/>
        </w:rPr>
        <w:t>to launch new income streams.</w:t>
      </w:r>
    </w:p>
    <w:p w14:paraId="268F3242" w14:textId="3BA82929" w:rsidR="00697342" w:rsidRDefault="00697342" w:rsidP="002B6188">
      <w:pPr>
        <w:ind w:left="-5" w:right="11"/>
      </w:pPr>
    </w:p>
    <w:p w14:paraId="74F27C7A" w14:textId="128DE3B7" w:rsidR="00697342" w:rsidRDefault="00697342" w:rsidP="00697342">
      <w:pPr>
        <w:spacing w:after="0"/>
        <w:ind w:left="-5" w:right="11"/>
      </w:pPr>
      <w:r w:rsidRPr="00697342">
        <w:rPr>
          <w:bCs/>
          <w:u w:color="000000"/>
        </w:rPr>
        <w:t>Twelve</w:t>
      </w:r>
      <w:r w:rsidRPr="00697342">
        <w:rPr>
          <w:bCs/>
        </w:rPr>
        <w:t xml:space="preserve"> museums</w:t>
      </w:r>
      <w:r>
        <w:t xml:space="preserve"> in all from both our region and the East Midlands can participate in an intensive programme which provides hands-on support with income diversification projects.  By joining with the East Midlands </w:t>
      </w:r>
      <w:proofErr w:type="gramStart"/>
      <w:r>
        <w:t>region</w:t>
      </w:r>
      <w:proofErr w:type="gramEnd"/>
      <w:r>
        <w:t xml:space="preserve"> we will be able to pair museums up with others of a similar size in some sessions and enable you to network more widely than usual.</w:t>
      </w:r>
    </w:p>
    <w:p w14:paraId="2FBAFE0B" w14:textId="77777777" w:rsidR="00697342" w:rsidRDefault="00697342" w:rsidP="00697342">
      <w:pPr>
        <w:spacing w:after="0"/>
        <w:ind w:left="-5" w:right="11"/>
      </w:pPr>
    </w:p>
    <w:p w14:paraId="1E2A389E" w14:textId="77777777" w:rsidR="00BB18D6" w:rsidRDefault="00697342" w:rsidP="003A3C36">
      <w:pPr>
        <w:numPr>
          <w:ilvl w:val="0"/>
          <w:numId w:val="1"/>
        </w:numPr>
        <w:spacing w:after="0"/>
        <w:ind w:left="510" w:right="11" w:hanging="360"/>
      </w:pPr>
      <w:r w:rsidRPr="00BB18D6">
        <w:rPr>
          <w:b/>
        </w:rPr>
        <w:t xml:space="preserve">Group Sessions – </w:t>
      </w:r>
      <w:r w:rsidR="00BB18D6" w:rsidRPr="00BB18D6">
        <w:rPr>
          <w:b/>
        </w:rPr>
        <w:t>T</w:t>
      </w:r>
      <w:r w:rsidRPr="00BB18D6">
        <w:rPr>
          <w:b/>
        </w:rPr>
        <w:t xml:space="preserve">hree </w:t>
      </w:r>
      <w:r w:rsidR="00BB18D6" w:rsidRPr="00BB18D6">
        <w:rPr>
          <w:b/>
        </w:rPr>
        <w:t>two</w:t>
      </w:r>
      <w:r w:rsidRPr="00BB18D6">
        <w:rPr>
          <w:b/>
        </w:rPr>
        <w:t>-hour sessions</w:t>
      </w:r>
      <w:r w:rsidR="00BB18D6" w:rsidRPr="00BB18D6">
        <w:rPr>
          <w:b/>
        </w:rPr>
        <w:t xml:space="preserve">, starting in </w:t>
      </w:r>
      <w:r w:rsidRPr="00BB18D6">
        <w:rPr>
          <w:b/>
        </w:rPr>
        <w:t>September 2021</w:t>
      </w:r>
      <w:r>
        <w:t xml:space="preserve"> </w:t>
      </w:r>
    </w:p>
    <w:p w14:paraId="029B98FF" w14:textId="77777777" w:rsidR="00BB18D6" w:rsidRDefault="00BB18D6" w:rsidP="00BB18D6">
      <w:pPr>
        <w:spacing w:after="0"/>
        <w:ind w:left="510" w:right="11" w:firstLine="0"/>
        <w:rPr>
          <w:bCs/>
        </w:rPr>
      </w:pPr>
      <w:r w:rsidRPr="00BB18D6">
        <w:rPr>
          <w:bCs/>
        </w:rPr>
        <w:t xml:space="preserve">The first session </w:t>
      </w:r>
      <w:r w:rsidR="00697342" w:rsidRPr="00BB18D6">
        <w:rPr>
          <w:bCs/>
        </w:rPr>
        <w:t>will launch the programme and its aims</w:t>
      </w:r>
      <w:r w:rsidRPr="00BB18D6">
        <w:rPr>
          <w:bCs/>
        </w:rPr>
        <w:t xml:space="preserve">. </w:t>
      </w:r>
    </w:p>
    <w:p w14:paraId="7A0BAFD3" w14:textId="77777777" w:rsidR="00BB18D6" w:rsidRDefault="00BB18D6" w:rsidP="00BB18D6">
      <w:pPr>
        <w:spacing w:after="0"/>
        <w:ind w:left="510" w:right="11" w:firstLine="0"/>
      </w:pPr>
      <w:r w:rsidRPr="00BB18D6">
        <w:rPr>
          <w:bCs/>
        </w:rPr>
        <w:t xml:space="preserve">It will also enable museums to share their </w:t>
      </w:r>
      <w:r w:rsidR="00697342" w:rsidRPr="00BB18D6">
        <w:rPr>
          <w:bCs/>
        </w:rPr>
        <w:t xml:space="preserve">specific needs, and the projects which </w:t>
      </w:r>
      <w:r>
        <w:rPr>
          <w:bCs/>
        </w:rPr>
        <w:t>they</w:t>
      </w:r>
      <w:r w:rsidR="00697342" w:rsidRPr="00BB18D6">
        <w:rPr>
          <w:bCs/>
        </w:rPr>
        <w:t xml:space="preserve"> </w:t>
      </w:r>
      <w:r w:rsidRPr="00BB18D6">
        <w:rPr>
          <w:bCs/>
        </w:rPr>
        <w:t>want to</w:t>
      </w:r>
      <w:r w:rsidR="00697342" w:rsidRPr="00BB18D6">
        <w:rPr>
          <w:bCs/>
        </w:rPr>
        <w:t xml:space="preserve"> focus on.</w:t>
      </w:r>
      <w:r w:rsidR="00697342">
        <w:t xml:space="preserve"> </w:t>
      </w:r>
    </w:p>
    <w:p w14:paraId="7AFCFB6D" w14:textId="40F5C831" w:rsidR="00697342" w:rsidRDefault="00697342" w:rsidP="00BB18D6">
      <w:pPr>
        <w:spacing w:after="0"/>
        <w:ind w:left="510" w:right="11" w:firstLine="0"/>
      </w:pPr>
      <w:r>
        <w:t>Following this, focus for these sessions is likely to include (</w:t>
      </w:r>
      <w:proofErr w:type="spellStart"/>
      <w:r>
        <w:t>i</w:t>
      </w:r>
      <w:proofErr w:type="spellEnd"/>
      <w:r>
        <w:t xml:space="preserve">) a session on communications and pitching, ahead of (ii) a group reflection session, before presenting progress in income diversification to key stakeholders. </w:t>
      </w:r>
    </w:p>
    <w:p w14:paraId="63F2BBBB" w14:textId="77777777" w:rsidR="00BB18D6" w:rsidRDefault="00697342" w:rsidP="00697342">
      <w:pPr>
        <w:numPr>
          <w:ilvl w:val="0"/>
          <w:numId w:val="1"/>
        </w:numPr>
        <w:ind w:right="11" w:hanging="360"/>
      </w:pPr>
      <w:r>
        <w:rPr>
          <w:b/>
        </w:rPr>
        <w:t xml:space="preserve">Monthly Coaching </w:t>
      </w:r>
      <w:r w:rsidRPr="00BB18D6">
        <w:rPr>
          <w:b/>
        </w:rPr>
        <w:t>– from October to December 2021</w:t>
      </w:r>
      <w:r w:rsidR="00BB18D6">
        <w:t>.</w:t>
      </w:r>
    </w:p>
    <w:p w14:paraId="56466BEC" w14:textId="37FF8648" w:rsidR="00697342" w:rsidRPr="00BB18D6" w:rsidRDefault="00BB18D6" w:rsidP="00BB18D6">
      <w:pPr>
        <w:ind w:left="500" w:right="11" w:firstLine="0"/>
        <w:rPr>
          <w:bCs/>
        </w:rPr>
      </w:pPr>
      <w:r w:rsidRPr="00BB18D6">
        <w:rPr>
          <w:bCs/>
        </w:rPr>
        <w:t>E</w:t>
      </w:r>
      <w:r w:rsidR="00697342" w:rsidRPr="00BB18D6">
        <w:rPr>
          <w:bCs/>
        </w:rPr>
        <w:t>ach participating museum will participate in two hour-long coaching sessions with an assigned coach</w:t>
      </w:r>
      <w:r>
        <w:rPr>
          <w:bCs/>
        </w:rPr>
        <w:t xml:space="preserve">. Potentially this </w:t>
      </w:r>
      <w:r w:rsidR="00697342" w:rsidRPr="00BB18D6">
        <w:rPr>
          <w:bCs/>
        </w:rPr>
        <w:t xml:space="preserve">coaching may be enhanced by support from peers who have undertaken </w:t>
      </w:r>
      <w:r>
        <w:rPr>
          <w:bCs/>
        </w:rPr>
        <w:t>similar</w:t>
      </w:r>
      <w:r w:rsidR="00697342" w:rsidRPr="00BB18D6">
        <w:rPr>
          <w:bCs/>
        </w:rPr>
        <w:t xml:space="preserve"> diversification projects. </w:t>
      </w:r>
    </w:p>
    <w:p w14:paraId="2D912F41" w14:textId="09F6925A" w:rsidR="00BB18D6" w:rsidRPr="00BB18D6" w:rsidRDefault="00697342" w:rsidP="00697342">
      <w:pPr>
        <w:numPr>
          <w:ilvl w:val="0"/>
          <w:numId w:val="1"/>
        </w:numPr>
        <w:ind w:right="11" w:hanging="360"/>
      </w:pPr>
      <w:r>
        <w:rPr>
          <w:b/>
        </w:rPr>
        <w:t>Network Building</w:t>
      </w:r>
      <w:r w:rsidR="00BB18D6">
        <w:rPr>
          <w:b/>
        </w:rPr>
        <w:t xml:space="preserve"> - </w:t>
      </w:r>
    </w:p>
    <w:p w14:paraId="66A72927" w14:textId="51AB2402" w:rsidR="00697342" w:rsidRDefault="00697342" w:rsidP="00BB18D6">
      <w:pPr>
        <w:ind w:left="500" w:right="11" w:firstLine="0"/>
      </w:pPr>
      <w:r>
        <w:t xml:space="preserve">between the group sessions, </w:t>
      </w:r>
      <w:r w:rsidR="00BB18D6">
        <w:t>there will be an online</w:t>
      </w:r>
      <w:r>
        <w:t xml:space="preserve"> group for participant organisations to share challenges and successes and build connections between organisations. </w:t>
      </w:r>
    </w:p>
    <w:p w14:paraId="5593622D" w14:textId="1926E6B1" w:rsidR="00697342" w:rsidRDefault="00697342" w:rsidP="00836422">
      <w:pPr>
        <w:numPr>
          <w:ilvl w:val="0"/>
          <w:numId w:val="1"/>
        </w:numPr>
        <w:spacing w:after="0"/>
        <w:ind w:left="510" w:right="11" w:hanging="360"/>
      </w:pPr>
      <w:r w:rsidRPr="00625884">
        <w:rPr>
          <w:b/>
        </w:rPr>
        <w:t xml:space="preserve">Training </w:t>
      </w:r>
      <w:r w:rsidR="00BB18D6" w:rsidRPr="00625884">
        <w:rPr>
          <w:b/>
        </w:rPr>
        <w:t xml:space="preserve">Sessions - </w:t>
      </w:r>
      <w:r w:rsidR="00BB18D6" w:rsidRPr="00625884">
        <w:rPr>
          <w:b/>
          <w:bCs/>
        </w:rPr>
        <w:t>A</w:t>
      </w:r>
      <w:r w:rsidRPr="00625884">
        <w:rPr>
          <w:b/>
          <w:bCs/>
        </w:rPr>
        <w:t>ll participa</w:t>
      </w:r>
      <w:r w:rsidR="00BB18D6" w:rsidRPr="00625884">
        <w:rPr>
          <w:b/>
          <w:bCs/>
        </w:rPr>
        <w:t>nts</w:t>
      </w:r>
      <w:r w:rsidRPr="00625884">
        <w:rPr>
          <w:b/>
          <w:bCs/>
        </w:rPr>
        <w:t xml:space="preserve"> will be encouraged to make use of the wider training programme (see below), in order to gain specific understanding in</w:t>
      </w:r>
      <w:r>
        <w:t xml:space="preserve"> key income areas and extend networks. </w:t>
      </w:r>
    </w:p>
    <w:p w14:paraId="122A36C3" w14:textId="06EB114C" w:rsidR="00697342" w:rsidRDefault="00697342" w:rsidP="00697342">
      <w:pPr>
        <w:spacing w:after="0" w:line="256" w:lineRule="auto"/>
        <w:ind w:left="720" w:firstLine="0"/>
      </w:pPr>
      <w:r>
        <w:t xml:space="preserve"> </w:t>
      </w:r>
    </w:p>
    <w:p w14:paraId="78838538" w14:textId="5C1D3CEE" w:rsidR="00697342" w:rsidRDefault="00697342" w:rsidP="00697342">
      <w:pPr>
        <w:pStyle w:val="Heading2"/>
        <w:spacing w:after="0" w:line="256" w:lineRule="auto"/>
        <w:ind w:left="-5"/>
      </w:pPr>
      <w:r>
        <w:rPr>
          <w:color w:val="000000"/>
          <w:sz w:val="24"/>
          <w:u w:val="single" w:color="000000"/>
        </w:rPr>
        <w:t>Training</w:t>
      </w:r>
      <w:r>
        <w:rPr>
          <w:color w:val="000000"/>
          <w:sz w:val="24"/>
        </w:rPr>
        <w:t xml:space="preserve"> </w:t>
      </w:r>
    </w:p>
    <w:p w14:paraId="689A9FE4" w14:textId="4F28D150" w:rsidR="00697342" w:rsidRDefault="00BB18D6" w:rsidP="00697342">
      <w:pPr>
        <w:ind w:left="-5" w:right="11"/>
      </w:pPr>
      <w:r>
        <w:t xml:space="preserve">All the group is invited to join the training sessions, but these will also be open as general training sessions to other museums. </w:t>
      </w:r>
      <w:r w:rsidR="00697342">
        <w:t xml:space="preserve"> Each session will last for two hours, and will contain key theory, case studies from the heritage sector, opportunities for discussion and interaction, and practical recommendations for implementation: </w:t>
      </w:r>
    </w:p>
    <w:p w14:paraId="73938DC7" w14:textId="2CD43691" w:rsidR="00BB18D6" w:rsidRDefault="00BB18D6" w:rsidP="00697342">
      <w:pPr>
        <w:ind w:left="-5" w:right="11"/>
      </w:pPr>
      <w:r>
        <w:t>Topics will include:</w:t>
      </w:r>
    </w:p>
    <w:p w14:paraId="0EF4D30F" w14:textId="6DA61F54" w:rsidR="00697342" w:rsidRDefault="00697342" w:rsidP="00697342">
      <w:pPr>
        <w:numPr>
          <w:ilvl w:val="0"/>
          <w:numId w:val="2"/>
        </w:numPr>
        <w:ind w:right="11" w:hanging="360"/>
      </w:pPr>
      <w:r>
        <w:rPr>
          <w:b/>
        </w:rPr>
        <w:lastRenderedPageBreak/>
        <w:t xml:space="preserve">Introduction to Fundraising: </w:t>
      </w:r>
      <w:r>
        <w:t xml:space="preserve">will introduce the basics of fundraising, including key income streams and top tips for maximizing success.  </w:t>
      </w:r>
    </w:p>
    <w:p w14:paraId="6151A922" w14:textId="4EC0CFBD" w:rsidR="00697342" w:rsidRDefault="00697342" w:rsidP="00697342">
      <w:pPr>
        <w:numPr>
          <w:ilvl w:val="0"/>
          <w:numId w:val="2"/>
        </w:numPr>
        <w:ind w:right="11" w:hanging="360"/>
      </w:pPr>
      <w:r>
        <w:rPr>
          <w:b/>
        </w:rPr>
        <w:t xml:space="preserve">Digital Fundraising Campaigns: </w:t>
      </w:r>
      <w:r>
        <w:t xml:space="preserve">will support </w:t>
      </w:r>
      <w:r w:rsidR="00841A11">
        <w:t>you</w:t>
      </w:r>
      <w:r>
        <w:t xml:space="preserve"> to design and launch digital fundraising campaigns through which to enhance individual giving as an income stream.  </w:t>
      </w:r>
    </w:p>
    <w:p w14:paraId="14D27085" w14:textId="29A75B3A" w:rsidR="00697342" w:rsidRDefault="00697342" w:rsidP="00697342">
      <w:pPr>
        <w:numPr>
          <w:ilvl w:val="0"/>
          <w:numId w:val="2"/>
        </w:numPr>
        <w:ind w:right="11" w:hanging="360"/>
      </w:pPr>
      <w:r>
        <w:rPr>
          <w:b/>
        </w:rPr>
        <w:t xml:space="preserve">Writing Great Applications: </w:t>
      </w:r>
      <w:r>
        <w:t xml:space="preserve">will provide practical advice and guidance for developing compelling bids to Trusts &amp; Foundations. </w:t>
      </w:r>
    </w:p>
    <w:p w14:paraId="683358C2" w14:textId="71F0AB8C" w:rsidR="00697342" w:rsidRDefault="00697342" w:rsidP="00697342">
      <w:pPr>
        <w:numPr>
          <w:ilvl w:val="0"/>
          <w:numId w:val="2"/>
        </w:numPr>
        <w:ind w:right="11" w:hanging="360"/>
      </w:pPr>
      <w:r>
        <w:rPr>
          <w:b/>
        </w:rPr>
        <w:t xml:space="preserve">Online Ticketing: </w:t>
      </w:r>
      <w:r w:rsidRPr="00841A11">
        <w:rPr>
          <w:bCs/>
        </w:rPr>
        <w:t>w</w:t>
      </w:r>
      <w:r>
        <w:t xml:space="preserve">ill highlight the opportunity offered by online box office systems, key considerations in choosing a platform, and </w:t>
      </w:r>
    </w:p>
    <w:p w14:paraId="14E0FE65" w14:textId="7EC1518F" w:rsidR="00697342" w:rsidRDefault="00697342" w:rsidP="00697342">
      <w:pPr>
        <w:ind w:left="510" w:right="11"/>
      </w:pPr>
      <w:r>
        <w:t>how to successfully integrate new systems into day-</w:t>
      </w:r>
      <w:r w:rsidRPr="00625884">
        <w:t>to-day activity.</w:t>
      </w:r>
      <w:r>
        <w:t xml:space="preserve">  </w:t>
      </w:r>
    </w:p>
    <w:p w14:paraId="168C1C18" w14:textId="38F21A4A" w:rsidR="00697342" w:rsidRDefault="00697342" w:rsidP="00697342">
      <w:pPr>
        <w:numPr>
          <w:ilvl w:val="0"/>
          <w:numId w:val="2"/>
        </w:numPr>
        <w:ind w:right="11" w:hanging="360"/>
      </w:pPr>
      <w:r>
        <w:rPr>
          <w:b/>
        </w:rPr>
        <w:t xml:space="preserve">Establishing an E-Commerce Offer: </w:t>
      </w:r>
      <w:r>
        <w:t xml:space="preserve">will support organisations new to online retail to launch an e-commerce offer appropriate for the organisation, that diversifies income and engages new audiences. </w:t>
      </w:r>
    </w:p>
    <w:p w14:paraId="181E8F6D" w14:textId="187096AF" w:rsidR="00697342" w:rsidRDefault="00697342" w:rsidP="00697342">
      <w:pPr>
        <w:numPr>
          <w:ilvl w:val="0"/>
          <w:numId w:val="2"/>
        </w:numPr>
        <w:ind w:right="11" w:hanging="360"/>
      </w:pPr>
      <w:r>
        <w:rPr>
          <w:b/>
        </w:rPr>
        <w:t xml:space="preserve">Developing On-Site Retail: </w:t>
      </w:r>
      <w:r>
        <w:t xml:space="preserve">will highlight best practice in onsite </w:t>
      </w:r>
      <w:r w:rsidR="00625884">
        <w:t>retail areas</w:t>
      </w:r>
      <w:r>
        <w:t xml:space="preserve"> for earned income with practical tips for launching these offers. </w:t>
      </w:r>
    </w:p>
    <w:p w14:paraId="15429638" w14:textId="32517A69" w:rsidR="00F64579" w:rsidRDefault="00697342" w:rsidP="00697342">
      <w:pPr>
        <w:numPr>
          <w:ilvl w:val="0"/>
          <w:numId w:val="2"/>
        </w:numPr>
        <w:spacing w:after="0"/>
        <w:ind w:right="11" w:hanging="360"/>
      </w:pPr>
      <w:r>
        <w:rPr>
          <w:b/>
        </w:rPr>
        <w:t xml:space="preserve">Income from Hires: </w:t>
      </w:r>
      <w:r>
        <w:t xml:space="preserve">will consider how buildings and spaces managed by museums and heritage sites can be successfully hired for commercial or community use. </w:t>
      </w:r>
    </w:p>
    <w:p w14:paraId="6770FFBE" w14:textId="6939B492" w:rsidR="00697342" w:rsidRDefault="00697342" w:rsidP="00697342">
      <w:pPr>
        <w:numPr>
          <w:ilvl w:val="0"/>
          <w:numId w:val="2"/>
        </w:numPr>
        <w:spacing w:after="0"/>
        <w:ind w:right="11" w:hanging="360"/>
      </w:pPr>
      <w:r>
        <w:rPr>
          <w:b/>
        </w:rPr>
        <w:t xml:space="preserve">Trustees Supporting Income Diversification: </w:t>
      </w:r>
      <w:r>
        <w:t xml:space="preserve">will support Trustees to consider their role and responsibilities in supporting income diversification strategies and delivery. </w:t>
      </w:r>
    </w:p>
    <w:p w14:paraId="1AAD7E73" w14:textId="77777777" w:rsidR="00697342" w:rsidRDefault="00697342" w:rsidP="002B6188">
      <w:pPr>
        <w:ind w:left="-5" w:right="11"/>
      </w:pPr>
    </w:p>
    <w:p w14:paraId="016F1374" w14:textId="3D44B474" w:rsidR="002B6188" w:rsidRDefault="002B6188" w:rsidP="002B6188">
      <w:pPr>
        <w:ind w:left="-5" w:right="11"/>
      </w:pPr>
    </w:p>
    <w:p w14:paraId="04A3AF3D" w14:textId="24990BCB" w:rsidR="00137C7D" w:rsidRPr="00137C7D" w:rsidRDefault="00C15D7C" w:rsidP="00C15D7C">
      <w:hyperlink r:id="rId6" w:history="1">
        <w:r w:rsidR="00137C7D" w:rsidRPr="00C15D7C">
          <w:rPr>
            <w:rStyle w:val="Hyperlink"/>
          </w:rPr>
          <w:t>Expressions of interest</w:t>
        </w:r>
      </w:hyperlink>
      <w:r w:rsidR="00137C7D" w:rsidRPr="00C15D7C">
        <w:t xml:space="preserve"> are invited by 16 July, with the programme to commence</w:t>
      </w:r>
      <w:r w:rsidR="00137C7D">
        <w:t xml:space="preserve"> in September 2021.</w:t>
      </w:r>
      <w:r w:rsidR="002B6188">
        <w:t xml:space="preserve"> </w:t>
      </w:r>
    </w:p>
    <w:p w14:paraId="4920A6F8" w14:textId="260E713F" w:rsidR="0068299D" w:rsidRPr="0068299D" w:rsidRDefault="0068299D" w:rsidP="0068299D">
      <w:pPr>
        <w:spacing w:after="0" w:line="240" w:lineRule="auto"/>
        <w:ind w:left="0" w:firstLine="0"/>
        <w:rPr>
          <w:rFonts w:ascii="Segoe UI" w:eastAsia="Times New Roman" w:hAnsi="Segoe UI" w:cs="Segoe UI"/>
          <w:color w:val="auto"/>
          <w:sz w:val="21"/>
          <w:szCs w:val="21"/>
        </w:rPr>
      </w:pPr>
      <w:r w:rsidRPr="0068299D">
        <w:rPr>
          <w:rFonts w:ascii="Segoe UI" w:eastAsia="Times New Roman" w:hAnsi="Segoe UI" w:cs="Segoe UI"/>
          <w:color w:val="auto"/>
          <w:sz w:val="21"/>
          <w:szCs w:val="21"/>
        </w:rPr>
        <w:t xml:space="preserve">Preference will </w:t>
      </w:r>
      <w:proofErr w:type="spellStart"/>
      <w:proofErr w:type="gramStart"/>
      <w:r w:rsidRPr="0068299D">
        <w:rPr>
          <w:rFonts w:ascii="Segoe UI" w:eastAsia="Times New Roman" w:hAnsi="Segoe UI" w:cs="Segoe UI"/>
          <w:color w:val="auto"/>
          <w:sz w:val="21"/>
          <w:szCs w:val="21"/>
        </w:rPr>
        <w:t>given</w:t>
      </w:r>
      <w:proofErr w:type="spellEnd"/>
      <w:proofErr w:type="gramEnd"/>
      <w:r w:rsidRPr="0068299D">
        <w:rPr>
          <w:rFonts w:ascii="Segoe UI" w:eastAsia="Times New Roman" w:hAnsi="Segoe UI" w:cs="Segoe UI"/>
          <w:color w:val="auto"/>
          <w:sz w:val="21"/>
          <w:szCs w:val="21"/>
        </w:rPr>
        <w:t xml:space="preserve"> to Accredited Museums which are not NPOs, but other museums may be considered</w:t>
      </w:r>
      <w:r>
        <w:rPr>
          <w:rFonts w:ascii="Segoe UI" w:eastAsia="Times New Roman" w:hAnsi="Segoe UI" w:cs="Segoe UI"/>
          <w:color w:val="auto"/>
          <w:sz w:val="21"/>
          <w:szCs w:val="21"/>
        </w:rPr>
        <w:t>.</w:t>
      </w:r>
      <w:bookmarkStart w:id="0" w:name="_GoBack"/>
      <w:bookmarkEnd w:id="0"/>
    </w:p>
    <w:sectPr w:rsidR="0068299D" w:rsidRPr="0068299D" w:rsidSect="0084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7CF"/>
    <w:multiLevelType w:val="hybridMultilevel"/>
    <w:tmpl w:val="B8505232"/>
    <w:lvl w:ilvl="0" w:tplc="CCE87D82">
      <w:start w:val="1"/>
      <w:numFmt w:val="bullet"/>
      <w:lvlText w:val="•"/>
      <w:lvlJc w:val="left"/>
      <w:pPr>
        <w:ind w:left="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FCC138">
      <w:start w:val="1"/>
      <w:numFmt w:val="bullet"/>
      <w:lvlText w:val="o"/>
      <w:lvlJc w:val="left"/>
      <w:pPr>
        <w:ind w:left="1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428CC8">
      <w:start w:val="1"/>
      <w:numFmt w:val="bullet"/>
      <w:lvlText w:val="▪"/>
      <w:lvlJc w:val="left"/>
      <w:pPr>
        <w:ind w:left="1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44A018">
      <w:start w:val="1"/>
      <w:numFmt w:val="bullet"/>
      <w:lvlText w:val="•"/>
      <w:lvlJc w:val="left"/>
      <w:pPr>
        <w:ind w:left="2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B8F580">
      <w:start w:val="1"/>
      <w:numFmt w:val="bullet"/>
      <w:lvlText w:val="o"/>
      <w:lvlJc w:val="left"/>
      <w:pPr>
        <w:ind w:left="3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7209EC">
      <w:start w:val="1"/>
      <w:numFmt w:val="bullet"/>
      <w:lvlText w:val="▪"/>
      <w:lvlJc w:val="left"/>
      <w:pPr>
        <w:ind w:left="4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F2E432">
      <w:start w:val="1"/>
      <w:numFmt w:val="bullet"/>
      <w:lvlText w:val="•"/>
      <w:lvlJc w:val="left"/>
      <w:pPr>
        <w:ind w:left="48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BA3662">
      <w:start w:val="1"/>
      <w:numFmt w:val="bullet"/>
      <w:lvlText w:val="o"/>
      <w:lvlJc w:val="left"/>
      <w:pPr>
        <w:ind w:left="5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3ED694">
      <w:start w:val="1"/>
      <w:numFmt w:val="bullet"/>
      <w:lvlText w:val="▪"/>
      <w:lvlJc w:val="left"/>
      <w:pPr>
        <w:ind w:left="6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8941721"/>
    <w:multiLevelType w:val="hybridMultilevel"/>
    <w:tmpl w:val="1BE6AA50"/>
    <w:lvl w:ilvl="0" w:tplc="290AD2AC">
      <w:start w:val="1"/>
      <w:numFmt w:val="bullet"/>
      <w:lvlText w:val="•"/>
      <w:lvlJc w:val="left"/>
      <w:pPr>
        <w:ind w:left="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BAEB80">
      <w:start w:val="1"/>
      <w:numFmt w:val="bullet"/>
      <w:lvlText w:val="o"/>
      <w:lvlJc w:val="left"/>
      <w:pPr>
        <w:ind w:left="1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5AA5AC">
      <w:start w:val="1"/>
      <w:numFmt w:val="bullet"/>
      <w:lvlText w:val="▪"/>
      <w:lvlJc w:val="left"/>
      <w:pPr>
        <w:ind w:left="19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821416">
      <w:start w:val="1"/>
      <w:numFmt w:val="bullet"/>
      <w:lvlText w:val="•"/>
      <w:lvlJc w:val="left"/>
      <w:pPr>
        <w:ind w:left="2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2CC200">
      <w:start w:val="1"/>
      <w:numFmt w:val="bullet"/>
      <w:lvlText w:val="o"/>
      <w:lvlJc w:val="left"/>
      <w:pPr>
        <w:ind w:left="3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62EF80">
      <w:start w:val="1"/>
      <w:numFmt w:val="bullet"/>
      <w:lvlText w:val="▪"/>
      <w:lvlJc w:val="left"/>
      <w:pPr>
        <w:ind w:left="41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3671CA">
      <w:start w:val="1"/>
      <w:numFmt w:val="bullet"/>
      <w:lvlText w:val="•"/>
      <w:lvlJc w:val="left"/>
      <w:pPr>
        <w:ind w:left="48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D00288">
      <w:start w:val="1"/>
      <w:numFmt w:val="bullet"/>
      <w:lvlText w:val="o"/>
      <w:lvlJc w:val="left"/>
      <w:pPr>
        <w:ind w:left="5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EA581E">
      <w:start w:val="1"/>
      <w:numFmt w:val="bullet"/>
      <w:lvlText w:val="▪"/>
      <w:lvlJc w:val="left"/>
      <w:pPr>
        <w:ind w:left="6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88"/>
    <w:rsid w:val="000748C7"/>
    <w:rsid w:val="000849BC"/>
    <w:rsid w:val="00137C7D"/>
    <w:rsid w:val="002B6188"/>
    <w:rsid w:val="00394A3C"/>
    <w:rsid w:val="00540822"/>
    <w:rsid w:val="00625884"/>
    <w:rsid w:val="0068299D"/>
    <w:rsid w:val="00697342"/>
    <w:rsid w:val="00841A11"/>
    <w:rsid w:val="00A85E88"/>
    <w:rsid w:val="00BB18D6"/>
    <w:rsid w:val="00C15D7C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BF6C"/>
  <w15:chartTrackingRefBased/>
  <w15:docId w15:val="{B0E41E79-0038-48F3-B01F-2FC309C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188"/>
    <w:pPr>
      <w:spacing w:after="31" w:line="252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2B6188"/>
    <w:pPr>
      <w:keepNext/>
      <w:keepLines/>
      <w:spacing w:after="0" w:line="264" w:lineRule="auto"/>
      <w:ind w:left="10" w:hanging="10"/>
      <w:outlineLvl w:val="0"/>
    </w:pPr>
    <w:rPr>
      <w:rFonts w:ascii="Calibri" w:eastAsia="Calibri" w:hAnsi="Calibri" w:cs="Calibri"/>
      <w:b/>
      <w:color w:val="660066"/>
      <w:sz w:val="36"/>
      <w:lang w:eastAsia="en-GB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2B6188"/>
    <w:pPr>
      <w:keepNext/>
      <w:keepLines/>
      <w:spacing w:after="21" w:line="264" w:lineRule="auto"/>
      <w:ind w:left="10" w:hanging="10"/>
      <w:outlineLvl w:val="1"/>
    </w:pPr>
    <w:rPr>
      <w:rFonts w:ascii="Calibri" w:eastAsia="Calibri" w:hAnsi="Calibri" w:cs="Calibri"/>
      <w:b/>
      <w:color w:val="660066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88"/>
    <w:rPr>
      <w:rFonts w:ascii="Calibri" w:eastAsia="Calibri" w:hAnsi="Calibri" w:cs="Calibri"/>
      <w:b/>
      <w:color w:val="660066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88"/>
    <w:rPr>
      <w:rFonts w:ascii="Calibri" w:eastAsia="Calibri" w:hAnsi="Calibri" w:cs="Calibri"/>
      <w:b/>
      <w:color w:val="660066"/>
      <w:sz w:val="20"/>
      <w:lang w:eastAsia="en-GB"/>
    </w:rPr>
  </w:style>
  <w:style w:type="table" w:customStyle="1" w:styleId="TableGrid">
    <w:name w:val="TableGrid"/>
    <w:rsid w:val="002B618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88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15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emuseumseast.org.uk/?p=194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Ackroyd, Sally</dc:creator>
  <cp:keywords/>
  <dc:description/>
  <cp:lastModifiedBy>Ackroyd, Sally</cp:lastModifiedBy>
  <cp:revision>9</cp:revision>
  <dcterms:created xsi:type="dcterms:W3CDTF">2021-05-12T08:11:00Z</dcterms:created>
  <dcterms:modified xsi:type="dcterms:W3CDTF">2021-05-12T11:50:00Z</dcterms:modified>
</cp:coreProperties>
</file>